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Приветствуем!</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Вы приняли решение попробовать подключение к Google Ad Exchange через Admixer. У вас возникла масса вопросов, и это естественно.</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Мы стремимся повысить эффективность сотрудничества для обеих сторон. Поэтому хотим подробно и структурно раскрыть ключевые вопросы ниже.</w:t>
      </w:r>
    </w:p>
    <w:p w:rsidR="00000000" w:rsidDel="00000000" w:rsidP="00000000" w:rsidRDefault="00000000" w:rsidRPr="00000000">
      <w:pPr>
        <w:contextualSpacing w:val="0"/>
        <w:jc w:val="both"/>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Подключение к Google Ad Exchange с Admixer</w:t>
      </w:r>
    </w:p>
    <w:p w:rsidR="00000000" w:rsidDel="00000000" w:rsidP="00000000" w:rsidRDefault="00000000" w:rsidRPr="00000000">
      <w:pPr>
        <w:contextualSpacing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Ответы на наиболее часто задаваемые вопросы</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numPr>
          <w:ilvl w:val="0"/>
          <w:numId w:val="1"/>
        </w:numPr>
        <w:ind w:left="540" w:hanging="285"/>
        <w:contextualSpacing w:val="1"/>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В чём разница между подключением к</w:t>
      </w:r>
      <w:r w:rsidDel="00000000" w:rsidR="00000000" w:rsidRPr="00000000">
        <w:rPr>
          <w:rFonts w:ascii="Verdana" w:cs="Verdana" w:eastAsia="Verdana" w:hAnsi="Verdana"/>
          <w:sz w:val="28"/>
          <w:szCs w:val="28"/>
          <w:rtl w:val="0"/>
        </w:rPr>
        <w:t xml:space="preserve"> Google Ad Exchange и работой с AdSense?</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color w:val="212121"/>
          <w:sz w:val="24"/>
          <w:szCs w:val="24"/>
        </w:rPr>
      </w:pPr>
      <w:r w:rsidDel="00000000" w:rsidR="00000000" w:rsidRPr="00000000">
        <w:rPr>
          <w:rFonts w:ascii="Verdana" w:cs="Verdana" w:eastAsia="Verdana" w:hAnsi="Verdana"/>
          <w:color w:val="212121"/>
          <w:sz w:val="24"/>
          <w:szCs w:val="24"/>
          <w:rtl w:val="0"/>
        </w:rPr>
        <w:t xml:space="preserve">Ad Exchange даёт больше инструментов для управления монетизацией:</w:t>
      </w:r>
    </w:p>
    <w:p w:rsidR="00000000" w:rsidDel="00000000" w:rsidP="00000000" w:rsidRDefault="00000000" w:rsidRPr="00000000">
      <w:pPr>
        <w:contextualSpacing w:val="0"/>
        <w:jc w:val="both"/>
        <w:rPr>
          <w:rFonts w:ascii="Verdana" w:cs="Verdana" w:eastAsia="Verdana" w:hAnsi="Verdana"/>
          <w:color w:val="212121"/>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rFonts w:ascii="Verdana" w:cs="Verdana" w:eastAsia="Verdana" w:hAnsi="Verdana"/>
          <w:color w:val="212121"/>
          <w:sz w:val="24"/>
          <w:szCs w:val="24"/>
        </w:rPr>
      </w:pPr>
      <w:r w:rsidDel="00000000" w:rsidR="00000000" w:rsidRPr="00000000">
        <w:rPr>
          <w:rFonts w:ascii="Verdana" w:cs="Verdana" w:eastAsia="Verdana" w:hAnsi="Verdana"/>
          <w:color w:val="212121"/>
          <w:sz w:val="24"/>
          <w:szCs w:val="24"/>
          <w:rtl w:val="0"/>
        </w:rPr>
        <w:t xml:space="preserve">Инвентарь может быть именованным, полу-анонимным или анонимным.</w:t>
      </w:r>
    </w:p>
    <w:p w:rsidR="00000000" w:rsidDel="00000000" w:rsidP="00000000" w:rsidRDefault="00000000" w:rsidRPr="00000000">
      <w:pPr>
        <w:numPr>
          <w:ilvl w:val="0"/>
          <w:numId w:val="2"/>
        </w:numPr>
        <w:ind w:left="720" w:hanging="360"/>
        <w:contextualSpacing w:val="1"/>
        <w:jc w:val="both"/>
        <w:rPr>
          <w:rFonts w:ascii="Verdana" w:cs="Verdana" w:eastAsia="Verdana" w:hAnsi="Verdana"/>
          <w:color w:val="212121"/>
          <w:sz w:val="24"/>
          <w:szCs w:val="24"/>
        </w:rPr>
      </w:pPr>
      <w:r w:rsidDel="00000000" w:rsidR="00000000" w:rsidRPr="00000000">
        <w:rPr>
          <w:rFonts w:ascii="Verdana" w:cs="Verdana" w:eastAsia="Verdana" w:hAnsi="Verdana"/>
          <w:color w:val="212121"/>
          <w:sz w:val="24"/>
          <w:szCs w:val="24"/>
          <w:rtl w:val="0"/>
        </w:rPr>
        <w:t xml:space="preserve">Можно настраивать приоритетные сделки с фиксированной ценой за тысячу показов или частные аукционы с минимальными ценами.</w:t>
      </w:r>
    </w:p>
    <w:p w:rsidR="00000000" w:rsidDel="00000000" w:rsidP="00000000" w:rsidRDefault="00000000" w:rsidRPr="00000000">
      <w:pPr>
        <w:numPr>
          <w:ilvl w:val="0"/>
          <w:numId w:val="2"/>
        </w:numPr>
        <w:ind w:left="720" w:hanging="360"/>
        <w:contextualSpacing w:val="1"/>
        <w:jc w:val="both"/>
        <w:rPr>
          <w:rFonts w:ascii="Verdana" w:cs="Verdana" w:eastAsia="Verdana" w:hAnsi="Verdana"/>
          <w:color w:val="212121"/>
          <w:sz w:val="24"/>
          <w:szCs w:val="24"/>
        </w:rPr>
      </w:pPr>
      <w:r w:rsidDel="00000000" w:rsidR="00000000" w:rsidRPr="00000000">
        <w:rPr>
          <w:rFonts w:ascii="Verdana" w:cs="Verdana" w:eastAsia="Verdana" w:hAnsi="Verdana"/>
          <w:color w:val="212121"/>
          <w:sz w:val="24"/>
          <w:szCs w:val="24"/>
          <w:rtl w:val="0"/>
        </w:rPr>
        <w:t xml:space="preserve">Дополнительные фильтры для блокировки и включения.</w:t>
      </w:r>
    </w:p>
    <w:p w:rsidR="00000000" w:rsidDel="00000000" w:rsidP="00000000" w:rsidRDefault="00000000" w:rsidRPr="00000000">
      <w:pPr>
        <w:numPr>
          <w:ilvl w:val="0"/>
          <w:numId w:val="2"/>
        </w:numPr>
        <w:ind w:left="720" w:hanging="360"/>
        <w:contextualSpacing w:val="1"/>
        <w:jc w:val="both"/>
        <w:rPr>
          <w:rFonts w:ascii="Verdana" w:cs="Verdana" w:eastAsia="Verdana" w:hAnsi="Verdana"/>
          <w:color w:val="212121"/>
          <w:sz w:val="24"/>
          <w:szCs w:val="24"/>
        </w:rPr>
      </w:pPr>
      <w:r w:rsidDel="00000000" w:rsidR="00000000" w:rsidRPr="00000000">
        <w:rPr>
          <w:rFonts w:ascii="Verdana" w:cs="Verdana" w:eastAsia="Verdana" w:hAnsi="Verdana"/>
          <w:color w:val="212121"/>
          <w:sz w:val="24"/>
          <w:szCs w:val="24"/>
          <w:rtl w:val="0"/>
        </w:rPr>
        <w:t xml:space="preserve">Гибкая система отчетов.</w:t>
      </w:r>
    </w:p>
    <w:p w:rsidR="00000000" w:rsidDel="00000000" w:rsidP="00000000" w:rsidRDefault="00000000" w:rsidRPr="00000000">
      <w:pPr>
        <w:contextualSpacing w:val="0"/>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pPr>
        <w:ind w:left="540" w:hanging="285"/>
        <w:contextualSpacing w:val="0"/>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2. Могу ли я подключиться к Google Ad Exchange напрямую?</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Google даёт такую возможность только крупнейшим сайтам региона. Мы делаем подключение паблишеров разного уровня быстрее и проще.</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Наши эксперты также помогают улучшить результаты выкупа трафика. У нас есть связи с сетями и широкие возможности делегирования трафика сайтов в Google PMP.</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pPr>
        <w:ind w:left="540" w:hanging="285"/>
        <w:contextualSpacing w:val="0"/>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3. На кого регистрируется аккаунт Google Ad Exchange? У меня будет личный кабинет Google?</w:t>
      </w:r>
    </w:p>
    <w:p w:rsidR="00000000" w:rsidDel="00000000" w:rsidP="00000000" w:rsidRDefault="00000000" w:rsidRPr="00000000">
      <w:pPr>
        <w:contextualSpacing w:val="0"/>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Аккаунт Google Ad Exchange открывается для официального партнера Google, который может проводить монетизацию своего и партнерского инвентаря через аукцион.</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Компании-партнеры, которых мы подключаем к Google Ad Exchange, заполняют нашу партнерскую форму. Отдельный аккаунт Google им не выдается. Всеми операциями занимается владелец аккаунта Google Ad Exchange, то есть мы. Партнеры, со своей стороны, несут ответственность за качество трафика и содержание контента.</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Для просмотра статистики мы предоставляем свой аккаунт, куда отправляем все данные через API.</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ind w:left="540" w:hanging="285"/>
        <w:contextualSpacing w:val="0"/>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4. Кто осуществляет выплаты, и какой минимальный лимит?</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Все выплаты производим мы. Минимальный порог от 100 USD.</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ind w:left="540" w:hanging="285"/>
        <w:contextualSpacing w:val="0"/>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5. Можно ли поставить выплаты на паузу?</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Выплаты выполняются по запросу. Вам нужно выставить счет, указав сумму. До выставления счетов выплаты не производятся.</w:t>
      </w:r>
    </w:p>
    <w:p w:rsidR="00000000" w:rsidDel="00000000" w:rsidP="00000000" w:rsidRDefault="00000000" w:rsidRPr="00000000">
      <w:pPr>
        <w:contextualSpacing w:val="0"/>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pPr>
        <w:ind w:left="540" w:hanging="285"/>
        <w:contextualSpacing w:val="0"/>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6. Какой доход можно получить при подключении к Google Ad Exchange  в потенциале?</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Точное значение дохода для сайта спрогнозировать нельзя.</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По данным о географии и объемах посещения можно сделать приблизительный прогноз. Но мы не можем гарантировать получение такого дохода в итоге.</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ind w:left="540" w:hanging="285"/>
        <w:contextualSpacing w:val="0"/>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7. Какой максимальный размер черного списка сайтов?</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Заблокировать можно до 25 000 адресов.</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ind w:left="540" w:hanging="285"/>
        <w:contextualSpacing w:val="0"/>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8. Можем ли мы заключить договор на своём языке?</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По желанию, мы предлагаем клиентам заключение договора на русском языке.</w:t>
      </w:r>
    </w:p>
    <w:sectPr>
      <w:headerReference r:id="rId5" w:type="default"/>
      <w:foot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drawing>
        <wp:inline distB="114300" distT="114300" distL="114300" distR="114300">
          <wp:extent cx="1294715" cy="385763"/>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294715" cy="385763"/>
                  </a:xfrm>
                  <a:prstGeom prst="rect"/>
                  <a:ln/>
                </pic:spPr>
              </pic:pic>
            </a:graphicData>
          </a:graphic>
        </wp:inline>
      </w:drawing>
    </w:r>
    <w:r w:rsidDel="00000000" w:rsidR="00000000" w:rsidRPr="00000000">
      <w:rPr>
        <w:rtl w:val="0"/>
      </w:rPr>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1440" w:right="-1440" w:firstLine="0"/>
      <w:contextualSpacing w:val="0"/>
      <w:jc w:val="center"/>
      <w:rPr/>
    </w:pPr>
    <w:r w:rsidDel="00000000" w:rsidR="00000000" w:rsidRPr="00000000">
      <w:rPr>
        <w:rtl w:val="0"/>
      </w:rPr>
    </w:r>
  </w:p>
  <w:p w:rsidR="00000000" w:rsidDel="00000000" w:rsidP="00000000" w:rsidRDefault="00000000" w:rsidRPr="00000000">
    <w:pPr>
      <w:ind w:left="-1440" w:right="-1440" w:firstLine="0"/>
      <w:contextualSpacing w:val="0"/>
      <w:jc w:val="center"/>
      <w:rPr/>
    </w:pPr>
    <w:r w:rsidDel="00000000" w:rsidR="00000000" w:rsidRPr="00000000">
      <w:rPr/>
      <w:drawing>
        <wp:inline distB="114300" distT="114300" distL="114300" distR="114300">
          <wp:extent cx="1609725" cy="485775"/>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09725" cy="485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